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7F2" w:rsidRPr="00A867F2" w:rsidRDefault="00A867F2" w:rsidP="00A867F2">
      <w:pPr>
        <w:spacing w:before="150" w:after="0" w:line="450" w:lineRule="atLeast"/>
        <w:outlineLvl w:val="0"/>
        <w:rPr>
          <w:rFonts w:ascii="Segoe UI" w:eastAsia="Times New Roman" w:hAnsi="Segoe UI" w:cs="Segoe UI"/>
          <w:b/>
          <w:bCs/>
          <w:caps/>
          <w:color w:val="454E72"/>
          <w:spacing w:val="-15"/>
          <w:kern w:val="36"/>
          <w:sz w:val="42"/>
          <w:szCs w:val="42"/>
          <w:lang w:eastAsia="ru-RU"/>
        </w:rPr>
      </w:pPr>
      <w:r w:rsidRPr="00A867F2">
        <w:rPr>
          <w:rFonts w:ascii="Segoe UI" w:eastAsia="Times New Roman" w:hAnsi="Segoe UI" w:cs="Segoe UI"/>
          <w:b/>
          <w:bCs/>
          <w:caps/>
          <w:color w:val="454E72"/>
          <w:spacing w:val="-15"/>
          <w:kern w:val="36"/>
          <w:sz w:val="42"/>
          <w:szCs w:val="42"/>
          <w:lang w:eastAsia="ru-RU"/>
        </w:rPr>
        <w:t>Цели устойчивого развития</w:t>
      </w:r>
    </w:p>
    <w:p w:rsidR="00A867F2" w:rsidRPr="00A867F2" w:rsidRDefault="00A867F2" w:rsidP="00A867F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A867F2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 </w:t>
      </w:r>
    </w:p>
    <w:p w:rsidR="00A867F2" w:rsidRPr="00A867F2" w:rsidRDefault="00A867F2" w:rsidP="00A867F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54E72"/>
          <w:sz w:val="24"/>
          <w:szCs w:val="24"/>
          <w:lang w:eastAsia="ru-RU"/>
        </w:rPr>
        <w:drawing>
          <wp:inline distT="0" distB="0" distL="0" distR="0">
            <wp:extent cx="5940425" cy="199580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zur-bel-glav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9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7F2" w:rsidRPr="00A867F2" w:rsidRDefault="00A867F2" w:rsidP="00A867F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A867F2">
        <w:rPr>
          <w:rFonts w:ascii="Arial" w:eastAsia="Times New Roman" w:hAnsi="Arial" w:cs="Arial"/>
          <w:b/>
          <w:bCs/>
          <w:color w:val="454E72"/>
          <w:sz w:val="24"/>
          <w:szCs w:val="24"/>
          <w:lang w:eastAsia="ru-RU"/>
        </w:rPr>
        <w:t>Цели устойчивого развития</w:t>
      </w:r>
    </w:p>
    <w:p w:rsidR="00A867F2" w:rsidRPr="00A867F2" w:rsidRDefault="00A867F2" w:rsidP="00A867F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A867F2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Для обеспечения адекватного ответа на угрозы формирования опасных условий для жизнедеятельности людей и преобладание потребительского направления социально-экономического развития, 193 государства на Генеральной Ассамблее ООН 25 сентября 2015 года приняли Резолюцию «Преобразование нашего мира: Повестка дня в области устойчивого развития на период до 2030 года» (Повестка-2030), которая определила на ближайшие 15 лет глобальную стратегию и Цели устойчивого развития (ЦУР). Основу Повестки-2030 составляют пять основных компонентов: люди, процветание, планета, партнерство и мир. 17 ЦУР и 169 подчиненных им задач направлены на обеспечение равномерного прогресса в трех основных аспектах устойчивого развития: экономического роста, социальной интеграции и охраны окружающей среды. Также определена необходимость отслеживания решения поставленных задач при помощи глобальных и национальных показателей.</w:t>
      </w:r>
    </w:p>
    <w:p w:rsidR="00A867F2" w:rsidRPr="00A867F2" w:rsidRDefault="00A867F2" w:rsidP="00A867F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proofErr w:type="gramStart"/>
      <w:r w:rsidRPr="00A867F2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В 2015 году Республика Беларусь приняла обязательства по достижению ЦУР в рамках Повестки-2030 (обеспечение поступательного экономического роста, углубления социальной интеграции, внедрения новых экологических инициатив) и предпринимает усилия по их реализации на глобальном, национальном и региональном уровнях.</w:t>
      </w:r>
      <w:proofErr w:type="gramEnd"/>
    </w:p>
    <w:p w:rsidR="00A867F2" w:rsidRDefault="00A867F2" w:rsidP="00A867F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A867F2">
        <w:rPr>
          <w:rFonts w:ascii="Arial" w:eastAsia="Times New Roman" w:hAnsi="Arial" w:cs="Arial"/>
          <w:color w:val="454E72"/>
          <w:sz w:val="24"/>
          <w:szCs w:val="24"/>
          <w:lang w:eastAsia="ru-RU"/>
        </w:rPr>
        <w:t xml:space="preserve">Минская декларация «Охват всех этапов жизни в контексте положений политики Здоровье-2020». </w:t>
      </w:r>
      <w:proofErr w:type="gramStart"/>
      <w:r w:rsidRPr="00A867F2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Государства-члены Европейского региона, собравшиеся 21–22 октября 2015 г. в Минске (Беларусь) на Европейской министерской конференции ВОЗ «Охват всех этапов жизни в контексте положений политики Здоровье-2020», единодушно признали принцип охвата всех этапов жизни важнейшим шагом в реализации политики Здоровье-2020 и целей и задач, стоящих на Повестке дня ООН в области устойчивого развития на период до 2030 года.</w:t>
      </w:r>
      <w:proofErr w:type="gramEnd"/>
      <w:r w:rsidRPr="00A867F2">
        <w:rPr>
          <w:rFonts w:ascii="Arial" w:eastAsia="Times New Roman" w:hAnsi="Arial" w:cs="Arial"/>
          <w:color w:val="454E72"/>
          <w:sz w:val="24"/>
          <w:szCs w:val="24"/>
          <w:lang w:eastAsia="ru-RU"/>
        </w:rPr>
        <w:t xml:space="preserve"> Принятый принцип охвата всех этапов жизни состоит из следующих компонентов: действовать как можно раньше; действовать надлежащим образом по отношению к переходным этапам жизни; действовать сообща, силами всего общества.</w:t>
      </w:r>
    </w:p>
    <w:p w:rsidR="00A867F2" w:rsidRPr="00A867F2" w:rsidRDefault="00A867F2" w:rsidP="00A867F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</w:p>
    <w:p w:rsidR="00A867F2" w:rsidRPr="00A867F2" w:rsidRDefault="00A867F2" w:rsidP="00A867F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A867F2">
        <w:rPr>
          <w:rFonts w:ascii="Arial" w:eastAsia="Times New Roman" w:hAnsi="Arial" w:cs="Arial"/>
          <w:b/>
          <w:bCs/>
          <w:color w:val="454E72"/>
          <w:sz w:val="24"/>
          <w:szCs w:val="24"/>
          <w:lang w:eastAsia="ru-RU"/>
        </w:rPr>
        <w:lastRenderedPageBreak/>
        <w:t>Архитектура управления процессом достижения ЦУР в Республике Беларусь.</w:t>
      </w:r>
    </w:p>
    <w:p w:rsidR="00A867F2" w:rsidRPr="00A867F2" w:rsidRDefault="00A867F2" w:rsidP="00A867F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proofErr w:type="gramStart"/>
      <w:r w:rsidRPr="00A867F2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В целях формирования четкого механизма реализации Повестки – 2030 и осуществления общей координации деятельности Республики Беларусь по достижению ЦУР, Указом Президента Республики Беларусь от 25 мая 2017 года № 181 «О Национальном координаторе по достижению Целей устойчивого развития» учрежден институт </w:t>
      </w:r>
      <w:r w:rsidRPr="00A867F2">
        <w:rPr>
          <w:rFonts w:ascii="Arial" w:eastAsia="Times New Roman" w:hAnsi="Arial" w:cs="Arial"/>
          <w:b/>
          <w:bCs/>
          <w:color w:val="454E72"/>
          <w:sz w:val="24"/>
          <w:szCs w:val="24"/>
          <w:lang w:eastAsia="ru-RU"/>
        </w:rPr>
        <w:t>Национального координатора по достижению ЦУР</w:t>
      </w:r>
      <w:r w:rsidRPr="00A867F2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. 17 июня 2024 года Национальным координатором по достижению Целей устойчивого развития назначен заместитель Председателя Совета Республики Национального</w:t>
      </w:r>
      <w:proofErr w:type="gramEnd"/>
      <w:r w:rsidRPr="00A867F2">
        <w:rPr>
          <w:rFonts w:ascii="Arial" w:eastAsia="Times New Roman" w:hAnsi="Arial" w:cs="Arial"/>
          <w:color w:val="454E72"/>
          <w:sz w:val="24"/>
          <w:szCs w:val="24"/>
          <w:lang w:eastAsia="ru-RU"/>
        </w:rPr>
        <w:t xml:space="preserve"> собрания Республики Беларусь Сергей Хоменко. Национальный координатор организует рассмотрение различных аспектов достижения ЦУР, вносит рекомендации по совершенствованию этого процесса, проводит мероприятия по продвижению ЦУР и ежегодно докладывает Президенту о прогрессе их достижения; представляет Республику Беларусь на международном уровне.</w:t>
      </w:r>
    </w:p>
    <w:p w:rsidR="00A867F2" w:rsidRPr="00A867F2" w:rsidRDefault="00A867F2" w:rsidP="00A867F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A867F2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Под руководством Национального координатора сформирован </w:t>
      </w:r>
      <w:r w:rsidRPr="00A867F2">
        <w:rPr>
          <w:rFonts w:ascii="Arial" w:eastAsia="Times New Roman" w:hAnsi="Arial" w:cs="Arial"/>
          <w:b/>
          <w:bCs/>
          <w:color w:val="454E72"/>
          <w:sz w:val="24"/>
          <w:szCs w:val="24"/>
          <w:lang w:eastAsia="ru-RU"/>
        </w:rPr>
        <w:t>Совет по устойчивому развитию,</w:t>
      </w:r>
      <w:r w:rsidRPr="00A867F2">
        <w:rPr>
          <w:rFonts w:ascii="Arial" w:eastAsia="Times New Roman" w:hAnsi="Arial" w:cs="Arial"/>
          <w:color w:val="454E72"/>
          <w:sz w:val="24"/>
          <w:szCs w:val="24"/>
          <w:lang w:eastAsia="ru-RU"/>
        </w:rPr>
        <w:t xml:space="preserve"> в состав которого входят заместители руководителей государственных органов и иных организаций, ответственных за реализацию ЦУР. От Министерства здравоохранения Республики Беларусь в состав Совета входит заместитель Министра – Главный государственный санитарный врач Республики Беларусь. В рамках Совета по устойчивому развитию сформированы 5 </w:t>
      </w:r>
      <w:proofErr w:type="spellStart"/>
      <w:r w:rsidRPr="00A867F2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межсекторальных</w:t>
      </w:r>
      <w:proofErr w:type="spellEnd"/>
      <w:r w:rsidRPr="00A867F2">
        <w:rPr>
          <w:rFonts w:ascii="Arial" w:eastAsia="Times New Roman" w:hAnsi="Arial" w:cs="Arial"/>
          <w:color w:val="454E72"/>
          <w:sz w:val="24"/>
          <w:szCs w:val="24"/>
          <w:lang w:eastAsia="ru-RU"/>
        </w:rPr>
        <w:t xml:space="preserve"> групп: по экономике, экологии, социальным вопросам, образованию, мониторингу и оценке достижения ЦУР. К работе Совета по устойчивому развитию привлекаются представители деловых кругов, общественных объединений и международных организаций. Состав участников каждого заседания определяет Национальный координатор по достижению ЦУР, исходя из рассматриваемых вопросов. Решениями </w:t>
      </w:r>
      <w:proofErr w:type="gramStart"/>
      <w:r w:rsidRPr="00A867F2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Президиума Палаты представителей Национального собрания Республики</w:t>
      </w:r>
      <w:proofErr w:type="gramEnd"/>
      <w:r w:rsidRPr="00A867F2">
        <w:rPr>
          <w:rFonts w:ascii="Arial" w:eastAsia="Times New Roman" w:hAnsi="Arial" w:cs="Arial"/>
          <w:color w:val="454E72"/>
          <w:sz w:val="24"/>
          <w:szCs w:val="24"/>
          <w:lang w:eastAsia="ru-RU"/>
        </w:rPr>
        <w:t xml:space="preserve"> Беларусь и Совета Республики Национального собрания Республики Беларусь в марте 2020 года создана </w:t>
      </w:r>
      <w:r w:rsidRPr="00A867F2">
        <w:rPr>
          <w:rFonts w:ascii="Arial" w:eastAsia="Times New Roman" w:hAnsi="Arial" w:cs="Arial"/>
          <w:b/>
          <w:bCs/>
          <w:color w:val="454E72"/>
          <w:sz w:val="24"/>
          <w:szCs w:val="24"/>
          <w:lang w:eastAsia="ru-RU"/>
        </w:rPr>
        <w:t>Группа Национального собрания Республики Беларусь по достижению Республикой Беларусь ЦУР (Парламентская группа устойчивого развития)</w:t>
      </w:r>
      <w:r w:rsidRPr="00A867F2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.</w:t>
      </w:r>
    </w:p>
    <w:p w:rsidR="00A867F2" w:rsidRPr="00A867F2" w:rsidRDefault="00A867F2" w:rsidP="00A867F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A867F2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Для организации работы по достижению ЦУР в регионах и содействия их сбалансированному развитию созданы </w:t>
      </w:r>
      <w:r w:rsidRPr="00A867F2">
        <w:rPr>
          <w:rFonts w:ascii="Arial" w:eastAsia="Times New Roman" w:hAnsi="Arial" w:cs="Arial"/>
          <w:b/>
          <w:bCs/>
          <w:color w:val="454E72"/>
          <w:sz w:val="24"/>
          <w:szCs w:val="24"/>
          <w:lang w:eastAsia="ru-RU"/>
        </w:rPr>
        <w:t>Региональные группы устойчивого развития</w:t>
      </w:r>
      <w:r w:rsidRPr="00A867F2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, которые возглавляют члены Совета по устойчивому развитию – заместители председателей областных и Минского городского исполнительных комитетов. В Гомельской области организационно-методологическое обеспечение деятельности региональной группы по устойчивому развитию Гомельской области и секторальных групп в ее составе (по экономическим, экологическим и социальным вопросам) осуществляет комитет экономики Гомельского облисполкома. Руководителем региональной группы является заместитель председателя Гомельского облисполкома, курирующий вопросы экономики и экономической реформы, внешнеэкономической и банковской деятельности, налоговой и финансовой политики, топливно-энергетического комплекса, энергосбережения, статистического анализа, ценообразования, развития промышленности. Главный государственный санитарный врач Гомельской области включен в состав секторальной группы по экологическим вопросам, заместитель начальника главного управления по здравоохранению Гомельского облисполкома – в состав секторальной группы по социальным вопросам.</w:t>
      </w:r>
    </w:p>
    <w:p w:rsidR="00A867F2" w:rsidRPr="00A867F2" w:rsidRDefault="00A867F2" w:rsidP="00A867F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A867F2">
        <w:rPr>
          <w:rFonts w:ascii="Arial" w:eastAsia="Times New Roman" w:hAnsi="Arial" w:cs="Arial"/>
          <w:color w:val="454E72"/>
          <w:sz w:val="24"/>
          <w:szCs w:val="24"/>
          <w:lang w:eastAsia="ru-RU"/>
        </w:rPr>
        <w:lastRenderedPageBreak/>
        <w:t xml:space="preserve">Региональная группа по устойчивому развитию работает с </w:t>
      </w:r>
      <w:proofErr w:type="spellStart"/>
      <w:r w:rsidRPr="00A867F2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горрайисполкомами</w:t>
      </w:r>
      <w:proofErr w:type="spellEnd"/>
      <w:r w:rsidRPr="00A867F2">
        <w:rPr>
          <w:rFonts w:ascii="Arial" w:eastAsia="Times New Roman" w:hAnsi="Arial" w:cs="Arial"/>
          <w:color w:val="454E72"/>
          <w:sz w:val="24"/>
          <w:szCs w:val="24"/>
          <w:lang w:eastAsia="ru-RU"/>
        </w:rPr>
        <w:t xml:space="preserve"> по вопросам достижения показателей ЦУР. На уровне административных территорий результаты мониторинга показателей ЦУР рассматриваются группами по устойчивому развитию при </w:t>
      </w:r>
      <w:proofErr w:type="spellStart"/>
      <w:r w:rsidRPr="00A867F2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горрайисполкомах</w:t>
      </w:r>
      <w:proofErr w:type="spellEnd"/>
      <w:r w:rsidRPr="00A867F2">
        <w:rPr>
          <w:rFonts w:ascii="Arial" w:eastAsia="Times New Roman" w:hAnsi="Arial" w:cs="Arial"/>
          <w:color w:val="454E72"/>
          <w:sz w:val="24"/>
          <w:szCs w:val="24"/>
          <w:lang w:eastAsia="ru-RU"/>
        </w:rPr>
        <w:t xml:space="preserve"> или территориальными межведомственными комиссиями/советами по формированию здорового образа жизни, профилактике ВИЧ-инфекции и венерических заболеваний и достижению ЦУР на административной территории.</w:t>
      </w:r>
    </w:p>
    <w:p w:rsidR="00A867F2" w:rsidRDefault="00A867F2" w:rsidP="00A867F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A867F2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Для повышения визуальной осведомленности общественности об устойчивом развитии для 17 ЦУР были разработаны национальные версии созданных ООН значков ЦУР и логотипа ЦУР.</w:t>
      </w:r>
    </w:p>
    <w:p w:rsidR="00A867F2" w:rsidRPr="00A867F2" w:rsidRDefault="00A867F2" w:rsidP="00A867F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54E72"/>
          <w:sz w:val="24"/>
          <w:szCs w:val="24"/>
          <w:lang w:eastAsia="ru-RU"/>
        </w:rPr>
        <w:drawing>
          <wp:inline distT="0" distB="0" distL="0" distR="0">
            <wp:extent cx="5940425" cy="301498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ур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1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7F2" w:rsidRPr="00A867F2" w:rsidRDefault="00A867F2" w:rsidP="00A867F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A867F2">
        <w:rPr>
          <w:rFonts w:ascii="Arial" w:eastAsia="Times New Roman" w:hAnsi="Arial" w:cs="Arial"/>
          <w:b/>
          <w:bCs/>
          <w:color w:val="454E72"/>
          <w:sz w:val="24"/>
          <w:szCs w:val="24"/>
          <w:lang w:eastAsia="ru-RU"/>
        </w:rPr>
        <w:t>Основные стратегические документы по достижению ЦУР в Республике Беларусь.</w:t>
      </w:r>
    </w:p>
    <w:p w:rsidR="00A867F2" w:rsidRPr="00A867F2" w:rsidRDefault="00A867F2" w:rsidP="00A867F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A867F2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Беларусь от 2 мая 2017 года № 10 одобрена </w:t>
      </w:r>
      <w:r w:rsidRPr="00A867F2">
        <w:rPr>
          <w:rFonts w:ascii="Arial" w:eastAsia="Times New Roman" w:hAnsi="Arial" w:cs="Arial"/>
          <w:b/>
          <w:bCs/>
          <w:color w:val="454E72"/>
          <w:sz w:val="24"/>
          <w:szCs w:val="24"/>
          <w:lang w:eastAsia="ru-RU"/>
        </w:rPr>
        <w:t>Национальная стратегия устойчивого социально-экономического развития Республики Беларусь на период до 2030 года (НСУР-2030)</w:t>
      </w:r>
      <w:r w:rsidRPr="00A867F2">
        <w:rPr>
          <w:rFonts w:ascii="Arial" w:eastAsia="Times New Roman" w:hAnsi="Arial" w:cs="Arial"/>
          <w:color w:val="454E72"/>
          <w:sz w:val="24"/>
          <w:szCs w:val="24"/>
          <w:lang w:eastAsia="ru-RU"/>
        </w:rPr>
        <w:t xml:space="preserve">, которой определены цели, этапы и направления стабильного развития трех взаимосвязанных и взаимодополняющих компонентов: человека (социальный компонент), конкурентоспособной экономики (экономический) и качества окружающей среды (экологический). Система, изложенная в НСУР-2030, является основой для разработки прогнозов и программ социально-экономического развития республики на средне- и </w:t>
      </w:r>
      <w:proofErr w:type="gramStart"/>
      <w:r w:rsidRPr="00A867F2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краткосрочную</w:t>
      </w:r>
      <w:proofErr w:type="gramEnd"/>
      <w:r w:rsidRPr="00A867F2">
        <w:rPr>
          <w:rFonts w:ascii="Arial" w:eastAsia="Times New Roman" w:hAnsi="Arial" w:cs="Arial"/>
          <w:color w:val="454E72"/>
          <w:sz w:val="24"/>
          <w:szCs w:val="24"/>
          <w:lang w:eastAsia="ru-RU"/>
        </w:rPr>
        <w:t xml:space="preserve"> перспективы.</w:t>
      </w:r>
    </w:p>
    <w:p w:rsidR="00A867F2" w:rsidRPr="00A867F2" w:rsidRDefault="00A867F2" w:rsidP="00A867F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A867F2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В 2018 году с помощью международных экспертов была разработана </w:t>
      </w:r>
      <w:r w:rsidRPr="00A867F2">
        <w:rPr>
          <w:rFonts w:ascii="Arial" w:eastAsia="Times New Roman" w:hAnsi="Arial" w:cs="Arial"/>
          <w:b/>
          <w:bCs/>
          <w:color w:val="454E72"/>
          <w:sz w:val="24"/>
          <w:szCs w:val="24"/>
          <w:lang w:eastAsia="ru-RU"/>
        </w:rPr>
        <w:t>Дорожная карта по реализации ЦУР в Республике Беларусь</w:t>
      </w:r>
      <w:r w:rsidRPr="00A867F2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, в которой представлены:</w:t>
      </w:r>
    </w:p>
    <w:p w:rsidR="00A867F2" w:rsidRPr="00A867F2" w:rsidRDefault="00A867F2" w:rsidP="00A867F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A867F2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выработка национальной стратегии уст</w:t>
      </w:r>
      <w:bookmarkStart w:id="0" w:name="_GoBack"/>
      <w:bookmarkEnd w:id="0"/>
      <w:r w:rsidRPr="00A867F2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ойчивого развития;</w:t>
      </w:r>
    </w:p>
    <w:p w:rsidR="00A867F2" w:rsidRPr="00A867F2" w:rsidRDefault="00A867F2" w:rsidP="00A867F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A867F2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четыре платформы ускорения реализации ЦУР: «зеленый» переход к инклюзивному и устойчивому росту; ориентация на будущие поколения; цифровые трансформации и социальные инновации; гендерное равенство в обществе;</w:t>
      </w:r>
    </w:p>
    <w:p w:rsidR="00A867F2" w:rsidRPr="00A867F2" w:rsidRDefault="00A867F2" w:rsidP="00A867F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A867F2">
        <w:rPr>
          <w:rFonts w:ascii="Arial" w:eastAsia="Times New Roman" w:hAnsi="Arial" w:cs="Arial"/>
          <w:color w:val="454E72"/>
          <w:sz w:val="24"/>
          <w:szCs w:val="24"/>
          <w:lang w:eastAsia="ru-RU"/>
        </w:rPr>
        <w:lastRenderedPageBreak/>
        <w:t>национализация ЦУР – включение ЦУР в государственные стратегии, программы и планы. Задачи и показатели ЦУР были включены в государственные и национальные программы и планы действий, разработанные на 2021-2025 годы. В текстах документов отражены ЦУР и задачи по их достижению, в приложениях – сведения о сопоставимости сводных целевых и целевых показателей с индикаторами достижения ЦУР;</w:t>
      </w:r>
    </w:p>
    <w:p w:rsidR="00A867F2" w:rsidRPr="00A867F2" w:rsidRDefault="00A867F2" w:rsidP="00A867F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A867F2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локализация ЦУР – многие мероприятия должны разрабатываться и формулироваться на региональном и местном уровнях (по принципу «никого не оставить в стороне»);</w:t>
      </w:r>
    </w:p>
    <w:p w:rsidR="00A867F2" w:rsidRPr="00A867F2" w:rsidRDefault="00A867F2" w:rsidP="00A867F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A867F2">
        <w:rPr>
          <w:rFonts w:ascii="Arial" w:eastAsia="Times New Roman" w:hAnsi="Arial" w:cs="Arial"/>
          <w:color w:val="454E72"/>
          <w:sz w:val="24"/>
          <w:szCs w:val="24"/>
          <w:lang w:eastAsia="ru-RU"/>
        </w:rPr>
        <w:t xml:space="preserve">связи в рамках ЦУР – </w:t>
      </w:r>
      <w:proofErr w:type="spellStart"/>
      <w:r w:rsidRPr="00A867F2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межсекторальная</w:t>
      </w:r>
      <w:proofErr w:type="spellEnd"/>
      <w:r w:rsidRPr="00A867F2">
        <w:rPr>
          <w:rFonts w:ascii="Arial" w:eastAsia="Times New Roman" w:hAnsi="Arial" w:cs="Arial"/>
          <w:color w:val="454E72"/>
          <w:sz w:val="24"/>
          <w:szCs w:val="24"/>
          <w:lang w:eastAsia="ru-RU"/>
        </w:rPr>
        <w:t xml:space="preserve"> координация;</w:t>
      </w:r>
    </w:p>
    <w:p w:rsidR="00A867F2" w:rsidRPr="00A867F2" w:rsidRDefault="00A867F2" w:rsidP="00A867F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A867F2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финансирование ЦУР;</w:t>
      </w:r>
    </w:p>
    <w:p w:rsidR="00A867F2" w:rsidRPr="00A867F2" w:rsidRDefault="00A867F2" w:rsidP="00A867F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A867F2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мониторинг и отчетность по достижению ЦУР.</w:t>
      </w:r>
    </w:p>
    <w:p w:rsidR="00A867F2" w:rsidRPr="00A867F2" w:rsidRDefault="00A867F2" w:rsidP="00A867F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A867F2">
        <w:rPr>
          <w:rFonts w:ascii="Arial" w:eastAsia="Times New Roman" w:hAnsi="Arial" w:cs="Arial"/>
          <w:color w:val="454E72"/>
          <w:sz w:val="24"/>
          <w:szCs w:val="24"/>
          <w:lang w:eastAsia="ru-RU"/>
        </w:rPr>
        <w:t xml:space="preserve">Протоколом </w:t>
      </w:r>
      <w:proofErr w:type="gramStart"/>
      <w:r w:rsidRPr="00A867F2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заседания Президиума Совета Министров Республики</w:t>
      </w:r>
      <w:proofErr w:type="gramEnd"/>
      <w:r w:rsidRPr="00A867F2">
        <w:rPr>
          <w:rFonts w:ascii="Arial" w:eastAsia="Times New Roman" w:hAnsi="Arial" w:cs="Arial"/>
          <w:color w:val="454E72"/>
          <w:sz w:val="24"/>
          <w:szCs w:val="24"/>
          <w:lang w:eastAsia="ru-RU"/>
        </w:rPr>
        <w:t xml:space="preserve"> Беларусь от 4 февраля 2020 г. № 3 утверждена </w:t>
      </w:r>
      <w:r w:rsidRPr="00A867F2">
        <w:rPr>
          <w:rFonts w:ascii="Arial" w:eastAsia="Times New Roman" w:hAnsi="Arial" w:cs="Arial"/>
          <w:b/>
          <w:bCs/>
          <w:color w:val="454E72"/>
          <w:sz w:val="24"/>
          <w:szCs w:val="24"/>
          <w:lang w:eastAsia="ru-RU"/>
        </w:rPr>
        <w:t>Национальная стратегия устойчивого развития Республики Беларусь на период до 2035 года (НСУР-2035)</w:t>
      </w:r>
      <w:r w:rsidRPr="00A867F2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.</w:t>
      </w:r>
    </w:p>
    <w:p w:rsidR="00A867F2" w:rsidRPr="00A867F2" w:rsidRDefault="00A867F2" w:rsidP="00A867F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A867F2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В НСУР-2035 представлены цели, задачи, инструменты и механизмы реализации основных стратегических направлений, обеспечивающих устойчивое развитие Республики Беларусь в контексте социального, экономического и экологического компонентов с учетом прогресса, достигнутого в реализации ЦУР:</w:t>
      </w:r>
    </w:p>
    <w:p w:rsidR="00A867F2" w:rsidRPr="00A867F2" w:rsidRDefault="00A867F2" w:rsidP="00A867F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A867F2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создание на государственном уровне дополнительных инструментов для достижения ЦУР (стратегии и планы развития);</w:t>
      </w:r>
    </w:p>
    <w:p w:rsidR="00A867F2" w:rsidRPr="00A867F2" w:rsidRDefault="00A867F2" w:rsidP="00A867F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A867F2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подготовка любого нормативного правового акта должна осуществляться с учетом соответствия ЦУР (обеспечение принципа социально-экономической обусловленности);</w:t>
      </w:r>
    </w:p>
    <w:p w:rsidR="00A867F2" w:rsidRPr="00A867F2" w:rsidRDefault="00A867F2" w:rsidP="00A867F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A867F2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особое внимание в рамках работы по достижению ЦУР необходимо уделять устойчивому развитию всех территориальных единиц республики (регионов), целью является равенство возможностей и стандартов жизни для населения вне зависимости от региона страны и места проживания.</w:t>
      </w:r>
    </w:p>
    <w:p w:rsidR="00A867F2" w:rsidRPr="00A867F2" w:rsidRDefault="00A867F2" w:rsidP="00A867F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A867F2">
        <w:rPr>
          <w:rFonts w:ascii="Arial" w:eastAsia="Times New Roman" w:hAnsi="Arial" w:cs="Arial"/>
          <w:color w:val="454E72"/>
          <w:sz w:val="24"/>
          <w:szCs w:val="24"/>
          <w:lang w:eastAsia="ru-RU"/>
        </w:rPr>
        <w:t xml:space="preserve">НСУР-2035 при анализе достигнутого прогресса Беларуси представлены ключевые вызовы для устойчивого развития: демографические проблемы (старение населения и снижение показателя рождаемости, высокий уровень смертности в трудоспособном возрасте, миграционный отток молодежи); низкая производительность труда; </w:t>
      </w:r>
      <w:proofErr w:type="gramStart"/>
      <w:r w:rsidRPr="00A867F2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сохранение актуальности экологических проблем (деградация земель и химическое загрязнение почвы, загрязнение значительной территории радионуклидами, загрязнение атмосферного воздуха крупных городов и водных ресурсов, необходимость уменьшения объемов образования отходов производства и жизнедеятельности населения и вовлечения их в экономический оборот.</w:t>
      </w:r>
      <w:proofErr w:type="gramEnd"/>
      <w:r w:rsidRPr="00A867F2">
        <w:rPr>
          <w:rFonts w:ascii="Arial" w:eastAsia="Times New Roman" w:hAnsi="Arial" w:cs="Arial"/>
          <w:color w:val="454E72"/>
          <w:sz w:val="24"/>
          <w:szCs w:val="24"/>
          <w:lang w:eastAsia="ru-RU"/>
        </w:rPr>
        <w:t xml:space="preserve"> Среди актуальных трендов глобального развития, внешних вызовов и рисков – усиление геополитической неопределенности и региональной нестабильности, негативное влияние пандемии COVID-19.</w:t>
      </w:r>
    </w:p>
    <w:p w:rsidR="00A867F2" w:rsidRPr="00A867F2" w:rsidRDefault="00A867F2" w:rsidP="00A867F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A867F2">
        <w:rPr>
          <w:rFonts w:ascii="Arial" w:eastAsia="Times New Roman" w:hAnsi="Arial" w:cs="Arial"/>
          <w:color w:val="454E72"/>
          <w:sz w:val="24"/>
          <w:szCs w:val="24"/>
          <w:lang w:eastAsia="ru-RU"/>
        </w:rPr>
        <w:lastRenderedPageBreak/>
        <w:t xml:space="preserve">НСУР-2035 установлены следующие приоритеты устойчивого развития: устойчивое развитие института семьи и качественный рост человеческого потенциала; производительная занятость и достойные доходы населения; цифровая трансформация экономики и широкомасштабное распространение инноваций; создание развитой </w:t>
      </w:r>
      <w:proofErr w:type="gramStart"/>
      <w:r w:rsidRPr="00A867F2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бизнес-среды</w:t>
      </w:r>
      <w:proofErr w:type="gramEnd"/>
      <w:r w:rsidRPr="00A867F2">
        <w:rPr>
          <w:rFonts w:ascii="Arial" w:eastAsia="Times New Roman" w:hAnsi="Arial" w:cs="Arial"/>
          <w:color w:val="454E72"/>
          <w:sz w:val="24"/>
          <w:szCs w:val="24"/>
          <w:lang w:eastAsia="ru-RU"/>
        </w:rPr>
        <w:t xml:space="preserve"> и устойчивой инфраструктуры; обеспечение экологической безопасности, переход к рациональным моделям производства и потребления (циркулярной экономике).</w:t>
      </w:r>
    </w:p>
    <w:p w:rsidR="00A867F2" w:rsidRPr="00A867F2" w:rsidRDefault="00A867F2" w:rsidP="00A867F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A867F2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19 июня 2024 года на втором Национальном форуме по устойчивому развитию представлены </w:t>
      </w:r>
      <w:r w:rsidRPr="00A867F2">
        <w:rPr>
          <w:rFonts w:ascii="Arial" w:eastAsia="Times New Roman" w:hAnsi="Arial" w:cs="Arial"/>
          <w:b/>
          <w:bCs/>
          <w:color w:val="454E72"/>
          <w:sz w:val="24"/>
          <w:szCs w:val="24"/>
          <w:lang w:eastAsia="ru-RU"/>
        </w:rPr>
        <w:t>ключевые приоритеты концепции Национальной стратегии устойчивого развития Республики Беларусь на период до 2040 года (НСУР-2040)</w:t>
      </w:r>
      <w:r w:rsidRPr="00A867F2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 – адаптация 17 ЦУР к национальным интересам, приоритеты национальной безопасности (демографический, продовольственный, технологический, экологический).</w:t>
      </w:r>
    </w:p>
    <w:p w:rsidR="00A867F2" w:rsidRPr="00A867F2" w:rsidRDefault="00A867F2" w:rsidP="00A867F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proofErr w:type="gramStart"/>
      <w:r w:rsidRPr="00A867F2">
        <w:rPr>
          <w:rFonts w:ascii="Arial" w:eastAsia="Times New Roman" w:hAnsi="Arial" w:cs="Arial"/>
          <w:color w:val="454E72"/>
          <w:sz w:val="24"/>
          <w:szCs w:val="24"/>
          <w:lang w:eastAsia="ru-RU"/>
        </w:rPr>
        <w:t xml:space="preserve">Для мониторинга реализации ЦУР Национальным статистическим комитетом Республики Беларусь (далее – </w:t>
      </w:r>
      <w:proofErr w:type="spellStart"/>
      <w:r w:rsidRPr="00A867F2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Белстат</w:t>
      </w:r>
      <w:proofErr w:type="spellEnd"/>
      <w:r w:rsidRPr="00A867F2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) разработана </w:t>
      </w:r>
      <w:r w:rsidRPr="00A867F2">
        <w:rPr>
          <w:rFonts w:ascii="Arial" w:eastAsia="Times New Roman" w:hAnsi="Arial" w:cs="Arial"/>
          <w:b/>
          <w:bCs/>
          <w:color w:val="454E72"/>
          <w:sz w:val="24"/>
          <w:szCs w:val="24"/>
          <w:lang w:eastAsia="ru-RU"/>
        </w:rPr>
        <w:t>Дорожная карта Национального статистического комитета Республики Беларусь по разработке статистики по Целям устойчивого развития,</w:t>
      </w:r>
      <w:r w:rsidRPr="00A867F2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 которая определяет меры, связанные с предоставлением информации, сотрудничеством, представлением отчетности и распространением статистики по показателям ЦУР, и пересматривается с учетом проводимой работы (обновлена в 2023 году).</w:t>
      </w:r>
      <w:proofErr w:type="gramEnd"/>
    </w:p>
    <w:p w:rsidR="00A867F2" w:rsidRPr="00A867F2" w:rsidRDefault="00A867F2" w:rsidP="00A867F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proofErr w:type="spellStart"/>
      <w:r w:rsidRPr="00A867F2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Белстат</w:t>
      </w:r>
      <w:proofErr w:type="spellEnd"/>
      <w:r w:rsidRPr="00A867F2">
        <w:rPr>
          <w:rFonts w:ascii="Arial" w:eastAsia="Times New Roman" w:hAnsi="Arial" w:cs="Arial"/>
          <w:color w:val="454E72"/>
          <w:sz w:val="24"/>
          <w:szCs w:val="24"/>
          <w:lang w:eastAsia="ru-RU"/>
        </w:rPr>
        <w:t xml:space="preserve"> является Национальным координационным центром для мониторинга достижения ЦУР. На официальном сайте </w:t>
      </w:r>
      <w:proofErr w:type="spellStart"/>
      <w:r w:rsidRPr="00A867F2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Белстата</w:t>
      </w:r>
      <w:proofErr w:type="spellEnd"/>
      <w:r w:rsidRPr="00A867F2">
        <w:rPr>
          <w:rFonts w:ascii="Arial" w:eastAsia="Times New Roman" w:hAnsi="Arial" w:cs="Arial"/>
          <w:color w:val="454E72"/>
          <w:sz w:val="24"/>
          <w:szCs w:val="24"/>
          <w:lang w:eastAsia="ru-RU"/>
        </w:rPr>
        <w:t xml:space="preserve"> размещены </w:t>
      </w:r>
      <w:r w:rsidRPr="00A867F2">
        <w:rPr>
          <w:rFonts w:ascii="Arial" w:eastAsia="Times New Roman" w:hAnsi="Arial" w:cs="Arial"/>
          <w:b/>
          <w:bCs/>
          <w:color w:val="454E72"/>
          <w:sz w:val="24"/>
          <w:szCs w:val="24"/>
          <w:lang w:eastAsia="ru-RU"/>
        </w:rPr>
        <w:t>Национальная платформа представления отчетности по показателям ЦУР</w:t>
      </w:r>
      <w:r w:rsidRPr="00A867F2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 (показатели для республики и областей) и </w:t>
      </w:r>
      <w:r w:rsidRPr="00A867F2">
        <w:rPr>
          <w:rFonts w:ascii="Arial" w:eastAsia="Times New Roman" w:hAnsi="Arial" w:cs="Arial"/>
          <w:b/>
          <w:bCs/>
          <w:color w:val="454E72"/>
          <w:sz w:val="24"/>
          <w:szCs w:val="24"/>
          <w:lang w:eastAsia="ru-RU"/>
        </w:rPr>
        <w:t>Платформа региональных данных по устойчивому развитию</w:t>
      </w:r>
      <w:r w:rsidRPr="00A867F2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 (показатели для областей и районов).</w:t>
      </w:r>
    </w:p>
    <w:p w:rsidR="00A867F2" w:rsidRPr="00A867F2" w:rsidRDefault="00A867F2" w:rsidP="00A867F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A867F2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 Для каждого показателя разработан паспорт с указанием наименования,  производителя, источников данных, порядка расчета, единиц измерения и сроков формирования данных.</w:t>
      </w:r>
    </w:p>
    <w:p w:rsidR="00A867F2" w:rsidRPr="00A867F2" w:rsidRDefault="00A867F2" w:rsidP="00A867F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A867F2">
        <w:rPr>
          <w:rFonts w:ascii="Arial" w:eastAsia="Times New Roman" w:hAnsi="Arial" w:cs="Arial"/>
          <w:b/>
          <w:bCs/>
          <w:color w:val="454E72"/>
          <w:sz w:val="24"/>
          <w:szCs w:val="24"/>
          <w:lang w:eastAsia="ru-RU"/>
        </w:rPr>
        <w:t>Отражение задач ЦУР в положениях действующих Государственных программ и планов.</w:t>
      </w:r>
    </w:p>
    <w:p w:rsidR="00A867F2" w:rsidRPr="00A867F2" w:rsidRDefault="00A867F2" w:rsidP="00A867F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A867F2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В соответствии с Дорожной картой по реализации ЦУР проведена имплементация задач и показателей ЦУР в государственные и национальные программы и планы действий, разработанные на 2012-2025 годы. В текстах документов отражены ЦУР и задачи по их достижению, в приложениях – сведения о сопоставимости сводных целевых и целевых показателей с индикаторами достижения ЦУР.</w:t>
      </w:r>
    </w:p>
    <w:p w:rsidR="00A867F2" w:rsidRPr="00A867F2" w:rsidRDefault="00A867F2" w:rsidP="00A867F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A867F2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В приложении к Государственной программе «Здоровье народа и демографическая безопасность» на 2021-2025 годы представлены сведения о сопоставимости сводного целевого и целевых показателей Государственной программы с индикаторами достижения Цели 3 «Хорошее здоровье и благополучие».</w:t>
      </w:r>
    </w:p>
    <w:p w:rsidR="00A867F2" w:rsidRPr="00A867F2" w:rsidRDefault="00A867F2" w:rsidP="00A867F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A867F2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Сводные целевые показатели Государственной программы «Комфортное жилье и благоприятная среда» на 2021–2025 годы сопоставимы с показателями Цели 6 «Чистая вода и санитария», Цели 7 «Недорогостоящая и чистая энергия», Цели 12 «Ответственное потребление и производство».</w:t>
      </w:r>
    </w:p>
    <w:p w:rsidR="00606C42" w:rsidRDefault="00606C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Основные сведения о ЦУР, архитектура управления, руководства, стратегические и </w:t>
      </w:r>
      <w:proofErr w:type="spellStart"/>
      <w:r>
        <w:rPr>
          <w:rFonts w:ascii="Times New Roman" w:hAnsi="Times New Roman" w:cs="Times New Roman"/>
        </w:rPr>
        <w:t>прогрмамные</w:t>
      </w:r>
      <w:proofErr w:type="spellEnd"/>
      <w:r>
        <w:rPr>
          <w:rFonts w:ascii="Times New Roman" w:hAnsi="Times New Roman" w:cs="Times New Roman"/>
        </w:rPr>
        <w:t xml:space="preserve"> документы, логотипы ЦУР представлены на сайте «Цели устойчивого развития в Беларуси»</w:t>
      </w:r>
    </w:p>
    <w:p w:rsidR="00D81CE8" w:rsidRDefault="00606C42">
      <w:pPr>
        <w:rPr>
          <w:rFonts w:ascii="Times New Roman" w:hAnsi="Times New Roman" w:cs="Times New Roman"/>
          <w:b/>
          <w:u w:val="single"/>
        </w:rPr>
      </w:pPr>
      <w:hyperlink r:id="rId7" w:history="1">
        <w:r w:rsidRPr="006C1A83">
          <w:rPr>
            <w:rStyle w:val="a5"/>
            <w:rFonts w:ascii="Times New Roman" w:hAnsi="Times New Roman" w:cs="Times New Roman"/>
            <w:b/>
          </w:rPr>
          <w:t>https://sdgs.by/</w:t>
        </w:r>
      </w:hyperlink>
    </w:p>
    <w:p w:rsidR="00606C42" w:rsidRDefault="00606C42">
      <w:pPr>
        <w:rPr>
          <w:rFonts w:ascii="Times New Roman" w:hAnsi="Times New Roman" w:cs="Times New Roman"/>
        </w:rPr>
      </w:pPr>
      <w:r w:rsidRPr="00606C42">
        <w:rPr>
          <w:rFonts w:ascii="Times New Roman" w:hAnsi="Times New Roman" w:cs="Times New Roman"/>
        </w:rPr>
        <w:t xml:space="preserve">Статистика </w:t>
      </w:r>
      <w:r>
        <w:rPr>
          <w:rFonts w:ascii="Times New Roman" w:hAnsi="Times New Roman" w:cs="Times New Roman"/>
        </w:rPr>
        <w:t>показателей ЦУР представлена на официальном сайте Национального статического комитета в Республики Беларусь</w:t>
      </w:r>
    </w:p>
    <w:p w:rsidR="00606C42" w:rsidRDefault="00606C42">
      <w:pPr>
        <w:rPr>
          <w:rFonts w:ascii="Times New Roman" w:hAnsi="Times New Roman" w:cs="Times New Roman"/>
        </w:rPr>
      </w:pPr>
      <w:r w:rsidRPr="00606C42">
        <w:rPr>
          <w:rFonts w:ascii="Times New Roman" w:hAnsi="Times New Roman" w:cs="Times New Roman"/>
        </w:rPr>
        <w:t>Национальная платформа представления отчетности по показателям ЦУР</w:t>
      </w:r>
    </w:p>
    <w:p w:rsidR="00606C42" w:rsidRDefault="00606C42">
      <w:pPr>
        <w:rPr>
          <w:rFonts w:ascii="Times New Roman" w:hAnsi="Times New Roman" w:cs="Times New Roman"/>
          <w:b/>
        </w:rPr>
      </w:pPr>
      <w:hyperlink r:id="rId8" w:history="1">
        <w:r w:rsidRPr="00606C42">
          <w:rPr>
            <w:rStyle w:val="a5"/>
            <w:rFonts w:ascii="Times New Roman" w:hAnsi="Times New Roman" w:cs="Times New Roman"/>
            <w:b/>
          </w:rPr>
          <w:t>https://sdgplatform.belstat.gov.by/</w:t>
        </w:r>
      </w:hyperlink>
    </w:p>
    <w:p w:rsidR="00606C42" w:rsidRDefault="00606C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Платформа региональных данных по устойчивому развитию</w:t>
      </w:r>
    </w:p>
    <w:p w:rsidR="00606C42" w:rsidRDefault="00606C42">
      <w:pPr>
        <w:rPr>
          <w:rFonts w:ascii="Times New Roman" w:hAnsi="Times New Roman" w:cs="Times New Roman"/>
          <w:b/>
        </w:rPr>
      </w:pPr>
      <w:hyperlink r:id="rId9" w:history="1">
        <w:r w:rsidRPr="006C1A83">
          <w:rPr>
            <w:rStyle w:val="a5"/>
            <w:rFonts w:ascii="Times New Roman" w:hAnsi="Times New Roman" w:cs="Times New Roman"/>
            <w:b/>
          </w:rPr>
          <w:t>https://sdgregions.belstat.gov.by/?regionId=all</w:t>
        </w:r>
      </w:hyperlink>
    </w:p>
    <w:p w:rsidR="00606C42" w:rsidRPr="00606C42" w:rsidRDefault="00606C42" w:rsidP="00606C42">
      <w:pPr>
        <w:rPr>
          <w:rFonts w:ascii="Times New Roman" w:hAnsi="Times New Roman" w:cs="Times New Roman"/>
        </w:rPr>
      </w:pPr>
      <w:r w:rsidRPr="00606C42">
        <w:rPr>
          <w:rFonts w:ascii="Times New Roman" w:hAnsi="Times New Roman" w:cs="Times New Roman"/>
        </w:rPr>
        <w:t>Мониторинг достижения показателей ЦУР.</w:t>
      </w:r>
    </w:p>
    <w:p w:rsidR="00606C42" w:rsidRPr="00606C42" w:rsidRDefault="00606C42" w:rsidP="00606C42">
      <w:pPr>
        <w:rPr>
          <w:rFonts w:ascii="Times New Roman" w:hAnsi="Times New Roman" w:cs="Times New Roman"/>
        </w:rPr>
      </w:pPr>
    </w:p>
    <w:p w:rsidR="00606C42" w:rsidRPr="00606C42" w:rsidRDefault="00606C42" w:rsidP="00606C42">
      <w:pPr>
        <w:rPr>
          <w:rFonts w:ascii="Times New Roman" w:hAnsi="Times New Roman" w:cs="Times New Roman"/>
        </w:rPr>
      </w:pPr>
      <w:proofErr w:type="gramStart"/>
      <w:r w:rsidRPr="00606C42">
        <w:rPr>
          <w:rFonts w:ascii="Times New Roman" w:hAnsi="Times New Roman" w:cs="Times New Roman"/>
        </w:rPr>
        <w:t>Достижение ЦУР в области здоровья – важная часть эффективной социальной политики государства на основе реализации комплексного подхода, скоординированных действий всех национальных партнеров в экономической, социальной и природоохранной сферах.</w:t>
      </w:r>
      <w:proofErr w:type="gramEnd"/>
    </w:p>
    <w:p w:rsidR="00606C42" w:rsidRPr="00606C42" w:rsidRDefault="00606C42" w:rsidP="00606C42">
      <w:pPr>
        <w:rPr>
          <w:rFonts w:ascii="Times New Roman" w:hAnsi="Times New Roman" w:cs="Times New Roman"/>
        </w:rPr>
      </w:pPr>
    </w:p>
    <w:p w:rsidR="00606C42" w:rsidRPr="00606C42" w:rsidRDefault="00606C42" w:rsidP="00606C42">
      <w:pPr>
        <w:rPr>
          <w:rFonts w:ascii="Times New Roman" w:hAnsi="Times New Roman" w:cs="Times New Roman"/>
        </w:rPr>
      </w:pPr>
      <w:r w:rsidRPr="00606C42">
        <w:rPr>
          <w:rFonts w:ascii="Times New Roman" w:hAnsi="Times New Roman" w:cs="Times New Roman"/>
        </w:rPr>
        <w:t>Координация деятельности Министерства здравоохранения Республики Беларусь (Минздрав) по управлению достижением показателей ЦУР возложена на Методический совет по мониторингу и оценке устойчивости развития во главе с заместителем Министра – Главным государственным санитарным врачом Республики Беларусь.</w:t>
      </w:r>
    </w:p>
    <w:p w:rsidR="00606C42" w:rsidRPr="00606C42" w:rsidRDefault="00606C42" w:rsidP="00606C42">
      <w:pPr>
        <w:rPr>
          <w:rFonts w:ascii="Times New Roman" w:hAnsi="Times New Roman" w:cs="Times New Roman"/>
        </w:rPr>
      </w:pPr>
    </w:p>
    <w:p w:rsidR="00606C42" w:rsidRPr="00606C42" w:rsidRDefault="00606C42" w:rsidP="00606C42">
      <w:pPr>
        <w:rPr>
          <w:rFonts w:ascii="Times New Roman" w:hAnsi="Times New Roman" w:cs="Times New Roman"/>
        </w:rPr>
      </w:pPr>
      <w:r w:rsidRPr="00606C42">
        <w:rPr>
          <w:rFonts w:ascii="Times New Roman" w:hAnsi="Times New Roman" w:cs="Times New Roman"/>
        </w:rPr>
        <w:t>В соответствие с пунктом 5 протокола совещания Совета по устойчивому развитию от 14.12.2020 № 5 Минздрав определен ответственным за реализацию 33 национальных показателей из ЦУР № 2 «Ликвидация голода» и № 3 «Хорошее здоровье и благополучие». При этом ответственность за формирование (расчет) и предоставление в «Национальную платформу представления отчетности по достижению Целей устойчивого развития Республики Беларусь» возложена: на Минздрав – по 20 показателям (из них по 1 в качестве соисполнителя); на другие министерства и ведомства – по 13 показателям.</w:t>
      </w:r>
    </w:p>
    <w:p w:rsidR="00606C42" w:rsidRPr="00606C42" w:rsidRDefault="00606C42" w:rsidP="00606C42">
      <w:pPr>
        <w:rPr>
          <w:rFonts w:ascii="Times New Roman" w:hAnsi="Times New Roman" w:cs="Times New Roman"/>
        </w:rPr>
      </w:pPr>
    </w:p>
    <w:p w:rsidR="00606C42" w:rsidRPr="00606C42" w:rsidRDefault="00606C42" w:rsidP="00606C42">
      <w:pPr>
        <w:rPr>
          <w:rFonts w:ascii="Times New Roman" w:hAnsi="Times New Roman" w:cs="Times New Roman"/>
        </w:rPr>
      </w:pPr>
      <w:r w:rsidRPr="00606C42">
        <w:rPr>
          <w:rFonts w:ascii="Times New Roman" w:hAnsi="Times New Roman" w:cs="Times New Roman"/>
        </w:rPr>
        <w:t>Среди направлений деятельности учреждений государственного санитарного надзора – обеспечение устойчивого санитарно-эпидемиологического благополучия населения, участие в реализации государственной политики по оздоровлению среды жизнедеятельности, профилактике болезней и формированию здорового образа жизни населения. Одной из задач является мониторинг достижения показателей Целей устойчивого развития в области здоровья населения и качества окружающей среды, в том числе:</w:t>
      </w:r>
    </w:p>
    <w:p w:rsidR="00606C42" w:rsidRPr="00606C42" w:rsidRDefault="00606C42" w:rsidP="00606C42">
      <w:pPr>
        <w:rPr>
          <w:rFonts w:ascii="Times New Roman" w:hAnsi="Times New Roman" w:cs="Times New Roman"/>
        </w:rPr>
      </w:pPr>
    </w:p>
    <w:p w:rsidR="00606C42" w:rsidRPr="00606C42" w:rsidRDefault="00606C42" w:rsidP="00606C42">
      <w:pPr>
        <w:rPr>
          <w:rFonts w:ascii="Times New Roman" w:hAnsi="Times New Roman" w:cs="Times New Roman"/>
        </w:rPr>
      </w:pPr>
      <w:r w:rsidRPr="00606C42">
        <w:rPr>
          <w:rFonts w:ascii="Times New Roman" w:hAnsi="Times New Roman" w:cs="Times New Roman"/>
        </w:rPr>
        <w:t>3.3.1: «Число новых заражений ВИЧ на 1 000 неинфицированных в разбивке по полу и возрасту»;</w:t>
      </w:r>
    </w:p>
    <w:p w:rsidR="00606C42" w:rsidRPr="00606C42" w:rsidRDefault="00606C42" w:rsidP="00606C42">
      <w:pPr>
        <w:rPr>
          <w:rFonts w:ascii="Times New Roman" w:hAnsi="Times New Roman" w:cs="Times New Roman"/>
        </w:rPr>
      </w:pPr>
    </w:p>
    <w:p w:rsidR="00606C42" w:rsidRPr="00606C42" w:rsidRDefault="00606C42" w:rsidP="00606C42">
      <w:pPr>
        <w:rPr>
          <w:rFonts w:ascii="Times New Roman" w:hAnsi="Times New Roman" w:cs="Times New Roman"/>
        </w:rPr>
      </w:pPr>
      <w:r w:rsidRPr="00606C42">
        <w:rPr>
          <w:rFonts w:ascii="Times New Roman" w:hAnsi="Times New Roman" w:cs="Times New Roman"/>
        </w:rPr>
        <w:lastRenderedPageBreak/>
        <w:t>3.3.3: «Заболеваемость малярией на 1 000 человек»;</w:t>
      </w:r>
    </w:p>
    <w:p w:rsidR="00606C42" w:rsidRPr="00606C42" w:rsidRDefault="00606C42" w:rsidP="00606C42">
      <w:pPr>
        <w:rPr>
          <w:rFonts w:ascii="Times New Roman" w:hAnsi="Times New Roman" w:cs="Times New Roman"/>
        </w:rPr>
      </w:pPr>
    </w:p>
    <w:p w:rsidR="00606C42" w:rsidRPr="00606C42" w:rsidRDefault="00606C42" w:rsidP="00606C42">
      <w:pPr>
        <w:rPr>
          <w:rFonts w:ascii="Times New Roman" w:hAnsi="Times New Roman" w:cs="Times New Roman"/>
        </w:rPr>
      </w:pPr>
      <w:r w:rsidRPr="00606C42">
        <w:rPr>
          <w:rFonts w:ascii="Times New Roman" w:hAnsi="Times New Roman" w:cs="Times New Roman"/>
        </w:rPr>
        <w:t>3.3.4: «Заболеваемость гепатитом</w:t>
      </w:r>
      <w:proofErr w:type="gramStart"/>
      <w:r w:rsidRPr="00606C42">
        <w:rPr>
          <w:rFonts w:ascii="Times New Roman" w:hAnsi="Times New Roman" w:cs="Times New Roman"/>
        </w:rPr>
        <w:t xml:space="preserve"> В</w:t>
      </w:r>
      <w:proofErr w:type="gramEnd"/>
      <w:r w:rsidRPr="00606C42">
        <w:rPr>
          <w:rFonts w:ascii="Times New Roman" w:hAnsi="Times New Roman" w:cs="Times New Roman"/>
        </w:rPr>
        <w:t xml:space="preserve"> на 100 000 человек»;</w:t>
      </w:r>
    </w:p>
    <w:p w:rsidR="00606C42" w:rsidRPr="00606C42" w:rsidRDefault="00606C42" w:rsidP="00606C42">
      <w:pPr>
        <w:rPr>
          <w:rFonts w:ascii="Times New Roman" w:hAnsi="Times New Roman" w:cs="Times New Roman"/>
        </w:rPr>
      </w:pPr>
    </w:p>
    <w:p w:rsidR="00606C42" w:rsidRPr="00606C42" w:rsidRDefault="00606C42" w:rsidP="00606C42">
      <w:pPr>
        <w:rPr>
          <w:rFonts w:ascii="Times New Roman" w:hAnsi="Times New Roman" w:cs="Times New Roman"/>
        </w:rPr>
      </w:pPr>
      <w:r w:rsidRPr="00606C42">
        <w:rPr>
          <w:rFonts w:ascii="Times New Roman" w:hAnsi="Times New Roman" w:cs="Times New Roman"/>
        </w:rPr>
        <w:t>3.3.5 Число людей, нуждающихся в лечении от «забытых» тропических болезней;</w:t>
      </w:r>
    </w:p>
    <w:p w:rsidR="00606C42" w:rsidRPr="00606C42" w:rsidRDefault="00606C42" w:rsidP="00606C42">
      <w:pPr>
        <w:rPr>
          <w:rFonts w:ascii="Times New Roman" w:hAnsi="Times New Roman" w:cs="Times New Roman"/>
        </w:rPr>
      </w:pPr>
    </w:p>
    <w:p w:rsidR="00606C42" w:rsidRPr="00606C42" w:rsidRDefault="00606C42" w:rsidP="00606C42">
      <w:pPr>
        <w:rPr>
          <w:rFonts w:ascii="Times New Roman" w:hAnsi="Times New Roman" w:cs="Times New Roman"/>
        </w:rPr>
      </w:pPr>
      <w:r w:rsidRPr="00606C42">
        <w:rPr>
          <w:rFonts w:ascii="Times New Roman" w:hAnsi="Times New Roman" w:cs="Times New Roman"/>
        </w:rPr>
        <w:t>3.9.1: «Смертность от загрязнения воздуха в жилых помещениях и атмосферного воздуха»;</w:t>
      </w:r>
    </w:p>
    <w:p w:rsidR="00606C42" w:rsidRPr="00606C42" w:rsidRDefault="00606C42" w:rsidP="00606C42">
      <w:pPr>
        <w:rPr>
          <w:rFonts w:ascii="Times New Roman" w:hAnsi="Times New Roman" w:cs="Times New Roman"/>
        </w:rPr>
      </w:pPr>
    </w:p>
    <w:p w:rsidR="00606C42" w:rsidRPr="00606C42" w:rsidRDefault="00606C42" w:rsidP="00606C42">
      <w:pPr>
        <w:rPr>
          <w:rFonts w:ascii="Times New Roman" w:hAnsi="Times New Roman" w:cs="Times New Roman"/>
        </w:rPr>
      </w:pPr>
      <w:r w:rsidRPr="00606C42">
        <w:rPr>
          <w:rFonts w:ascii="Times New Roman" w:hAnsi="Times New Roman" w:cs="Times New Roman"/>
        </w:rPr>
        <w:t>3.9.2: «Смертность от отсутствия безопасной воды, безопасной санитарии и гигиены (от отсутствия безопасных услуг в области водоснабжения, санитарии и гигиены (ВССГ) для всех»;</w:t>
      </w:r>
    </w:p>
    <w:p w:rsidR="00606C42" w:rsidRPr="00606C42" w:rsidRDefault="00606C42" w:rsidP="00606C42">
      <w:pPr>
        <w:rPr>
          <w:rFonts w:ascii="Times New Roman" w:hAnsi="Times New Roman" w:cs="Times New Roman"/>
        </w:rPr>
      </w:pPr>
    </w:p>
    <w:p w:rsidR="00606C42" w:rsidRPr="00606C42" w:rsidRDefault="00606C42" w:rsidP="00606C42">
      <w:pPr>
        <w:rPr>
          <w:rFonts w:ascii="Times New Roman" w:hAnsi="Times New Roman" w:cs="Times New Roman"/>
        </w:rPr>
      </w:pPr>
      <w:r w:rsidRPr="00606C42">
        <w:rPr>
          <w:rFonts w:ascii="Times New Roman" w:hAnsi="Times New Roman" w:cs="Times New Roman"/>
        </w:rPr>
        <w:t>3.а.1.1. Распространенность употребления табака лицами в возрасте 16 лет и старше (процент);</w:t>
      </w:r>
    </w:p>
    <w:p w:rsidR="00606C42" w:rsidRPr="00606C42" w:rsidRDefault="00606C42" w:rsidP="00606C42">
      <w:pPr>
        <w:rPr>
          <w:rFonts w:ascii="Times New Roman" w:hAnsi="Times New Roman" w:cs="Times New Roman"/>
        </w:rPr>
      </w:pPr>
    </w:p>
    <w:p w:rsidR="00606C42" w:rsidRPr="00606C42" w:rsidRDefault="00606C42" w:rsidP="00606C42">
      <w:pPr>
        <w:rPr>
          <w:rFonts w:ascii="Times New Roman" w:hAnsi="Times New Roman" w:cs="Times New Roman"/>
        </w:rPr>
      </w:pPr>
      <w:r w:rsidRPr="00606C42">
        <w:rPr>
          <w:rFonts w:ascii="Times New Roman" w:hAnsi="Times New Roman" w:cs="Times New Roman"/>
        </w:rPr>
        <w:t>3.b.1: «Доля целевой группы населения, охваченная иммунизацией всеми вакцинами, включенными в национальные программы»;</w:t>
      </w:r>
    </w:p>
    <w:p w:rsidR="00606C42" w:rsidRPr="00606C42" w:rsidRDefault="00606C42" w:rsidP="00606C42">
      <w:pPr>
        <w:rPr>
          <w:rFonts w:ascii="Times New Roman" w:hAnsi="Times New Roman" w:cs="Times New Roman"/>
        </w:rPr>
      </w:pPr>
    </w:p>
    <w:p w:rsidR="00606C42" w:rsidRPr="00606C42" w:rsidRDefault="00606C42" w:rsidP="00606C42">
      <w:pPr>
        <w:rPr>
          <w:rFonts w:ascii="Times New Roman" w:hAnsi="Times New Roman" w:cs="Times New Roman"/>
        </w:rPr>
      </w:pPr>
      <w:r w:rsidRPr="00606C42">
        <w:rPr>
          <w:rFonts w:ascii="Times New Roman" w:hAnsi="Times New Roman" w:cs="Times New Roman"/>
        </w:rPr>
        <w:t>3.d.1: «Способность соблюдать Международные медико-санитарные правила (ММСП) и готовность к чрезвычайным ситуациям в области общественного здравоохранения»;</w:t>
      </w:r>
    </w:p>
    <w:p w:rsidR="00606C42" w:rsidRPr="00606C42" w:rsidRDefault="00606C42" w:rsidP="00606C42">
      <w:pPr>
        <w:rPr>
          <w:rFonts w:ascii="Times New Roman" w:hAnsi="Times New Roman" w:cs="Times New Roman"/>
        </w:rPr>
      </w:pPr>
    </w:p>
    <w:p w:rsidR="00606C42" w:rsidRPr="00606C42" w:rsidRDefault="00606C42" w:rsidP="00606C42">
      <w:pPr>
        <w:rPr>
          <w:rFonts w:ascii="Times New Roman" w:hAnsi="Times New Roman" w:cs="Times New Roman"/>
        </w:rPr>
      </w:pPr>
      <w:r w:rsidRPr="00606C42">
        <w:rPr>
          <w:rFonts w:ascii="Times New Roman" w:hAnsi="Times New Roman" w:cs="Times New Roman"/>
        </w:rPr>
        <w:t>3.d.2. Процентная доля инфекций кровотока, вызываемых отдельными организмами, устойчивыми к противомикробным препаратам;</w:t>
      </w:r>
    </w:p>
    <w:p w:rsidR="00606C42" w:rsidRPr="00606C42" w:rsidRDefault="00606C42" w:rsidP="00606C42">
      <w:pPr>
        <w:rPr>
          <w:rFonts w:ascii="Times New Roman" w:hAnsi="Times New Roman" w:cs="Times New Roman"/>
        </w:rPr>
      </w:pPr>
    </w:p>
    <w:p w:rsidR="00606C42" w:rsidRPr="00606C42" w:rsidRDefault="00606C42" w:rsidP="00606C42">
      <w:pPr>
        <w:rPr>
          <w:rFonts w:ascii="Times New Roman" w:hAnsi="Times New Roman" w:cs="Times New Roman"/>
        </w:rPr>
      </w:pPr>
      <w:r w:rsidRPr="00606C42">
        <w:rPr>
          <w:rFonts w:ascii="Times New Roman" w:hAnsi="Times New Roman" w:cs="Times New Roman"/>
        </w:rPr>
        <w:t>6.1.1.  Доля населения, пользующегося услугами водоснабжения, организованного с соблюдением требований безопасности (процент);</w:t>
      </w:r>
    </w:p>
    <w:p w:rsidR="00606C42" w:rsidRPr="00606C42" w:rsidRDefault="00606C42" w:rsidP="00606C42">
      <w:pPr>
        <w:rPr>
          <w:rFonts w:ascii="Times New Roman" w:hAnsi="Times New Roman" w:cs="Times New Roman"/>
        </w:rPr>
      </w:pPr>
    </w:p>
    <w:p w:rsidR="00606C42" w:rsidRPr="00606C42" w:rsidRDefault="00606C42" w:rsidP="00606C42">
      <w:pPr>
        <w:rPr>
          <w:rFonts w:ascii="Times New Roman" w:hAnsi="Times New Roman" w:cs="Times New Roman"/>
        </w:rPr>
      </w:pPr>
      <w:r w:rsidRPr="00606C42">
        <w:rPr>
          <w:rFonts w:ascii="Times New Roman" w:hAnsi="Times New Roman" w:cs="Times New Roman"/>
        </w:rPr>
        <w:t>6.2.1.1. Доля населения, использующего организованные с соблюдением требований безопасности услуги санитарии, включая устройства для мытья рук с мылом и водой (процент);</w:t>
      </w:r>
    </w:p>
    <w:p w:rsidR="00606C42" w:rsidRPr="00606C42" w:rsidRDefault="00606C42" w:rsidP="00606C42">
      <w:pPr>
        <w:rPr>
          <w:rFonts w:ascii="Times New Roman" w:hAnsi="Times New Roman" w:cs="Times New Roman"/>
        </w:rPr>
      </w:pPr>
    </w:p>
    <w:p w:rsidR="00606C42" w:rsidRPr="00606C42" w:rsidRDefault="00606C42" w:rsidP="00606C42">
      <w:pPr>
        <w:rPr>
          <w:rFonts w:ascii="Times New Roman" w:hAnsi="Times New Roman" w:cs="Times New Roman"/>
        </w:rPr>
      </w:pPr>
      <w:r w:rsidRPr="00606C42">
        <w:rPr>
          <w:rFonts w:ascii="Times New Roman" w:hAnsi="Times New Roman" w:cs="Times New Roman"/>
        </w:rPr>
        <w:t>6.3.1.  Доля отведенных сточных вод, нормативно-очищенных на сооружениях очистки, в общем объеме нормативно-очищенных на сооружениях очистки и недостаточно очищенных сточных вод (процент);</w:t>
      </w:r>
    </w:p>
    <w:p w:rsidR="00606C42" w:rsidRPr="00606C42" w:rsidRDefault="00606C42" w:rsidP="00606C42">
      <w:pPr>
        <w:rPr>
          <w:rFonts w:ascii="Times New Roman" w:hAnsi="Times New Roman" w:cs="Times New Roman"/>
        </w:rPr>
      </w:pPr>
    </w:p>
    <w:p w:rsidR="00606C42" w:rsidRPr="00606C42" w:rsidRDefault="00606C42" w:rsidP="00606C42">
      <w:pPr>
        <w:rPr>
          <w:rFonts w:ascii="Times New Roman" w:hAnsi="Times New Roman" w:cs="Times New Roman"/>
        </w:rPr>
      </w:pPr>
      <w:r w:rsidRPr="00606C42">
        <w:rPr>
          <w:rFonts w:ascii="Times New Roman" w:hAnsi="Times New Roman" w:cs="Times New Roman"/>
        </w:rPr>
        <w:lastRenderedPageBreak/>
        <w:t>6.а.1 Объем официальной помощи в целях развития, выделенной на водоснабжение и санитарию в рамках координируемой государственной программы расходов;</w:t>
      </w:r>
    </w:p>
    <w:p w:rsidR="00606C42" w:rsidRPr="00606C42" w:rsidRDefault="00606C42" w:rsidP="00606C42">
      <w:pPr>
        <w:rPr>
          <w:rFonts w:ascii="Times New Roman" w:hAnsi="Times New Roman" w:cs="Times New Roman"/>
        </w:rPr>
      </w:pPr>
    </w:p>
    <w:p w:rsidR="00606C42" w:rsidRPr="00606C42" w:rsidRDefault="00606C42" w:rsidP="00606C42">
      <w:pPr>
        <w:rPr>
          <w:rFonts w:ascii="Times New Roman" w:hAnsi="Times New Roman" w:cs="Times New Roman"/>
        </w:rPr>
      </w:pPr>
      <w:r w:rsidRPr="00606C42">
        <w:rPr>
          <w:rFonts w:ascii="Times New Roman" w:hAnsi="Times New Roman" w:cs="Times New Roman"/>
        </w:rPr>
        <w:t>6.b.1: «Доля местных административных единиц, в которых действуют правила и процедуры участия граждан в управлении водными ресурсами и санитарией»;</w:t>
      </w:r>
    </w:p>
    <w:p w:rsidR="00606C42" w:rsidRPr="00606C42" w:rsidRDefault="00606C42" w:rsidP="00606C42">
      <w:pPr>
        <w:rPr>
          <w:rFonts w:ascii="Times New Roman" w:hAnsi="Times New Roman" w:cs="Times New Roman"/>
        </w:rPr>
      </w:pPr>
    </w:p>
    <w:p w:rsidR="00606C42" w:rsidRPr="00606C42" w:rsidRDefault="00606C42" w:rsidP="00606C42">
      <w:pPr>
        <w:rPr>
          <w:rFonts w:ascii="Times New Roman" w:hAnsi="Times New Roman" w:cs="Times New Roman"/>
        </w:rPr>
      </w:pPr>
      <w:r w:rsidRPr="00606C42">
        <w:rPr>
          <w:rFonts w:ascii="Times New Roman" w:hAnsi="Times New Roman" w:cs="Times New Roman"/>
        </w:rPr>
        <w:t>11.6.2.1: «Среднегодовой уровень содержания мелких твердых частиц (класса РМ10) в атмосфере отдельных городов (в пересчете на численность населения)»;</w:t>
      </w:r>
    </w:p>
    <w:p w:rsidR="00606C42" w:rsidRPr="00606C42" w:rsidRDefault="00606C42" w:rsidP="00606C42">
      <w:pPr>
        <w:rPr>
          <w:rFonts w:ascii="Times New Roman" w:hAnsi="Times New Roman" w:cs="Times New Roman"/>
        </w:rPr>
      </w:pPr>
    </w:p>
    <w:p w:rsidR="00606C42" w:rsidRPr="00606C42" w:rsidRDefault="00606C42" w:rsidP="00606C42">
      <w:pPr>
        <w:rPr>
          <w:rFonts w:ascii="Times New Roman" w:hAnsi="Times New Roman" w:cs="Times New Roman"/>
        </w:rPr>
      </w:pPr>
      <w:r w:rsidRPr="00606C42">
        <w:rPr>
          <w:rFonts w:ascii="Times New Roman" w:hAnsi="Times New Roman" w:cs="Times New Roman"/>
        </w:rPr>
        <w:t xml:space="preserve">7.1.2: «Доступ к чистым источникам энергии и технологиям в быту».          </w:t>
      </w:r>
    </w:p>
    <w:p w:rsidR="00606C42" w:rsidRPr="00606C42" w:rsidRDefault="00606C42" w:rsidP="00606C42">
      <w:pPr>
        <w:rPr>
          <w:rFonts w:ascii="Times New Roman" w:hAnsi="Times New Roman" w:cs="Times New Roman"/>
        </w:rPr>
      </w:pPr>
    </w:p>
    <w:p w:rsidR="00606C42" w:rsidRPr="00606C42" w:rsidRDefault="00606C42" w:rsidP="00606C42">
      <w:pPr>
        <w:rPr>
          <w:rFonts w:ascii="Times New Roman" w:hAnsi="Times New Roman" w:cs="Times New Roman"/>
        </w:rPr>
      </w:pPr>
      <w:r w:rsidRPr="00606C42">
        <w:rPr>
          <w:rFonts w:ascii="Times New Roman" w:hAnsi="Times New Roman" w:cs="Times New Roman"/>
        </w:rPr>
        <w:t>Модель устойчивого развития территории в области здоровья интегрирует три составляющие:</w:t>
      </w:r>
    </w:p>
    <w:p w:rsidR="00606C42" w:rsidRPr="00606C42" w:rsidRDefault="00606C42" w:rsidP="00606C42">
      <w:pPr>
        <w:rPr>
          <w:rFonts w:ascii="Times New Roman" w:hAnsi="Times New Roman" w:cs="Times New Roman"/>
        </w:rPr>
      </w:pPr>
    </w:p>
    <w:p w:rsidR="00606C42" w:rsidRPr="00606C42" w:rsidRDefault="00606C42" w:rsidP="00606C42">
      <w:pPr>
        <w:rPr>
          <w:rFonts w:ascii="Times New Roman" w:hAnsi="Times New Roman" w:cs="Times New Roman"/>
        </w:rPr>
      </w:pPr>
      <w:r w:rsidRPr="00606C42">
        <w:rPr>
          <w:rFonts w:ascii="Times New Roman" w:hAnsi="Times New Roman" w:cs="Times New Roman"/>
        </w:rPr>
        <w:t>достижение медико-демографической устойчивости территории;</w:t>
      </w:r>
    </w:p>
    <w:p w:rsidR="00606C42" w:rsidRPr="00606C42" w:rsidRDefault="00606C42" w:rsidP="00606C42">
      <w:pPr>
        <w:rPr>
          <w:rFonts w:ascii="Times New Roman" w:hAnsi="Times New Roman" w:cs="Times New Roman"/>
        </w:rPr>
      </w:pPr>
    </w:p>
    <w:p w:rsidR="00606C42" w:rsidRPr="00606C42" w:rsidRDefault="00606C42" w:rsidP="00606C42">
      <w:pPr>
        <w:rPr>
          <w:rFonts w:ascii="Times New Roman" w:hAnsi="Times New Roman" w:cs="Times New Roman"/>
        </w:rPr>
      </w:pPr>
      <w:r w:rsidRPr="00606C42">
        <w:rPr>
          <w:rFonts w:ascii="Times New Roman" w:hAnsi="Times New Roman" w:cs="Times New Roman"/>
        </w:rPr>
        <w:t>реализация государственной политики по оздоровлению среды обитания, профилактике болезней и формированию у населения здорового образа жизни;</w:t>
      </w:r>
    </w:p>
    <w:p w:rsidR="00606C42" w:rsidRPr="00606C42" w:rsidRDefault="00606C42" w:rsidP="00606C42">
      <w:pPr>
        <w:rPr>
          <w:rFonts w:ascii="Times New Roman" w:hAnsi="Times New Roman" w:cs="Times New Roman"/>
        </w:rPr>
      </w:pPr>
    </w:p>
    <w:p w:rsidR="00606C42" w:rsidRPr="00606C42" w:rsidRDefault="00606C42" w:rsidP="00606C42">
      <w:pPr>
        <w:rPr>
          <w:rFonts w:ascii="Times New Roman" w:hAnsi="Times New Roman" w:cs="Times New Roman"/>
        </w:rPr>
      </w:pPr>
      <w:r w:rsidRPr="00606C42">
        <w:rPr>
          <w:rFonts w:ascii="Times New Roman" w:hAnsi="Times New Roman" w:cs="Times New Roman"/>
        </w:rPr>
        <w:t>обеспечение устойчивости системы здравоохранения.</w:t>
      </w:r>
    </w:p>
    <w:p w:rsidR="00606C42" w:rsidRPr="00606C42" w:rsidRDefault="00606C42">
      <w:pPr>
        <w:rPr>
          <w:rFonts w:ascii="Times New Roman" w:hAnsi="Times New Roman" w:cs="Times New Roman"/>
        </w:rPr>
      </w:pPr>
    </w:p>
    <w:sectPr w:rsidR="00606C42" w:rsidRPr="00606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7F2"/>
    <w:rsid w:val="00606C42"/>
    <w:rsid w:val="00A867F2"/>
    <w:rsid w:val="00D8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7F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06C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7F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06C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0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gplatform.belstat.gov.b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dgs.b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dgregions.belstat.gov.by/?regionId=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2528</Words>
  <Characters>14411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Покупатель</cp:lastModifiedBy>
  <cp:revision>2</cp:revision>
  <dcterms:created xsi:type="dcterms:W3CDTF">2024-11-01T11:50:00Z</dcterms:created>
  <dcterms:modified xsi:type="dcterms:W3CDTF">2024-11-01T11:50:00Z</dcterms:modified>
</cp:coreProperties>
</file>